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0000"/>
          <w:kern w:val="0"/>
          <w:sz w:val="28"/>
          <w:szCs w:val="28"/>
        </w:rPr>
        <w:t>关于2016届毕业研究生</w:t>
      </w:r>
      <w:r>
        <w:rPr>
          <w:rFonts w:ascii="微软雅黑" w:hAnsi="微软雅黑" w:eastAsia="微软雅黑"/>
          <w:b/>
          <w:color w:val="000000"/>
          <w:kern w:val="0"/>
          <w:sz w:val="28"/>
          <w:szCs w:val="28"/>
        </w:rPr>
        <w:t>填写</w:t>
      </w:r>
      <w:r>
        <w:rPr>
          <w:rFonts w:hint="eastAsia" w:ascii="微软雅黑" w:hAnsi="微软雅黑" w:eastAsia="微软雅黑"/>
          <w:b/>
          <w:color w:val="000000"/>
          <w:kern w:val="0"/>
          <w:sz w:val="28"/>
          <w:szCs w:val="28"/>
        </w:rPr>
        <w:t>毕业生调查</w:t>
      </w:r>
      <w:r>
        <w:rPr>
          <w:rFonts w:ascii="微软雅黑" w:hAnsi="微软雅黑" w:eastAsia="微软雅黑"/>
          <w:b/>
          <w:color w:val="000000"/>
          <w:kern w:val="0"/>
          <w:sz w:val="28"/>
          <w:szCs w:val="28"/>
        </w:rPr>
        <w:t>问卷的通知</w:t>
      </w:r>
    </w:p>
    <w:p>
      <w:pPr>
        <w:widowControl/>
        <w:spacing w:after="0" w:line="360" w:lineRule="auto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各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eastAsia="zh-CN"/>
        </w:rPr>
        <w:t>位同学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：</w:t>
      </w:r>
    </w:p>
    <w:p>
      <w:pPr>
        <w:widowControl/>
        <w:spacing w:after="0" w:line="360" w:lineRule="auto"/>
        <w:ind w:firstLine="480" w:firstLineChars="20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为了搜集毕业研究生对研究生教育教学与管理工作的意见和建议，以便为今后的政策制定提供参考，医学部研究生院设计了《北京大学医学部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2016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届毕业研究生调查问卷》，希望各院（部）配合组织毕业生认真填写问卷，为母校的研究生教育与管理工作贡献智慧。</w:t>
      </w:r>
    </w:p>
    <w:p>
      <w:pPr>
        <w:widowControl/>
        <w:spacing w:after="0" w:line="360" w:lineRule="auto"/>
        <w:ind w:firstLine="480" w:firstLineChars="20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为与时俱进电子化工作流程，配合学校网络离校系统建设，今年的毕业生问卷调查不再采用纸版问卷，不再需要学生跑到研究生院现场提交，而是采取“问卷星网上填写”的形式。学生完成问卷后，研工部将尽快导入“离校系统”进行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 xml:space="preserve"> 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“已办理”标记。办理界面及“研究生问卷调查”位置如下图所示：</w:t>
      </w:r>
      <w:r>
        <w:rPr>
          <w:rFonts w:ascii="微软雅黑" w:hAnsi="微软雅黑" w:eastAsia="微软雅黑"/>
          <w:color w:val="000000"/>
          <w:kern w:val="0"/>
          <w:sz w:val="24"/>
          <w:szCs w:val="24"/>
        </w:rPr>
        <w:drawing>
          <wp:inline distT="0" distB="0" distL="0" distR="0">
            <wp:extent cx="5274310" cy="3368675"/>
            <wp:effectExtent l="19050" t="0" r="2540" b="0"/>
            <wp:docPr id="3" name="图片 1" descr="webwxgetmsg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webwxgetmsgimg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点击“研究生问卷调查”按钮，可看到办理说明，如下图所示：</w:t>
      </w:r>
    </w:p>
    <w:p>
      <w:pPr>
        <w:widowControl/>
        <w:spacing w:after="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Cs w:val="21"/>
        </w:rPr>
        <w:drawing>
          <wp:inline distT="0" distB="0" distL="0" distR="0">
            <wp:extent cx="5274310" cy="2364105"/>
            <wp:effectExtent l="19050" t="0" r="2540" b="0"/>
            <wp:docPr id="2" name="图片 1" descr="办理说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办理说明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after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</w:p>
    <w:p>
      <w:pPr>
        <w:widowControl/>
        <w:spacing w:after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研工部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将完成问卷的研究生学号导入后，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eastAsia="zh-CN"/>
        </w:rPr>
        <w:t>“研究生问卷调查”按钮会变成绿色，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系统界面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如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下图所示：</w:t>
      </w:r>
    </w:p>
    <w:p>
      <w:pPr>
        <w:widowControl/>
        <w:spacing w:after="0"/>
        <w:jc w:val="left"/>
        <w:rPr>
          <w:rFonts w:ascii="微软雅黑" w:hAnsi="微软雅黑" w:eastAsia="微软雅黑"/>
          <w:color w:val="000000"/>
          <w:kern w:val="0"/>
          <w:sz w:val="24"/>
          <w:szCs w:val="24"/>
        </w:rPr>
      </w:pPr>
      <w:r>
        <w:rPr>
          <w:rFonts w:ascii="微软雅黑" w:hAnsi="微软雅黑" w:eastAsia="微软雅黑"/>
          <w:color w:val="000000"/>
          <w:kern w:val="0"/>
          <w:sz w:val="24"/>
          <w:szCs w:val="24"/>
        </w:rPr>
        <w:drawing>
          <wp:inline distT="0" distB="0" distL="0" distR="0">
            <wp:extent cx="5274310" cy="3253105"/>
            <wp:effectExtent l="19050" t="0" r="2540" b="0"/>
            <wp:docPr id="5" name="图片 4" descr="办理完成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办理完成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after="0"/>
        <w:jc w:val="left"/>
        <w:rPr>
          <w:rFonts w:ascii="微软雅黑" w:hAnsi="微软雅黑" w:eastAsia="微软雅黑"/>
          <w:b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0000"/>
          <w:kern w:val="0"/>
          <w:sz w:val="28"/>
          <w:szCs w:val="28"/>
        </w:rPr>
        <w:t>问卷</w:t>
      </w:r>
      <w:r>
        <w:rPr>
          <w:rFonts w:ascii="微软雅黑" w:hAnsi="微软雅黑" w:eastAsia="微软雅黑"/>
          <w:b/>
          <w:color w:val="000000"/>
          <w:kern w:val="0"/>
          <w:sz w:val="28"/>
          <w:szCs w:val="28"/>
        </w:rPr>
        <w:t>填写方式：</w:t>
      </w:r>
    </w:p>
    <w:p>
      <w:pPr>
        <w:widowControl/>
        <w:spacing w:after="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微软雅黑" w:hAnsi="微软雅黑" w:eastAsia="微软雅黑"/>
          <w:color w:val="000000"/>
          <w:kern w:val="0"/>
          <w:sz w:val="24"/>
          <w:szCs w:val="24"/>
        </w:rPr>
        <w:t>方式一：</w:t>
      </w:r>
      <w:r>
        <w:rPr>
          <w:rFonts w:ascii="微软雅黑" w:hAnsi="微软雅黑" w:eastAsia="微软雅黑"/>
          <w:color w:val="000000"/>
          <w:kern w:val="0"/>
          <w:sz w:val="24"/>
          <w:szCs w:val="24"/>
        </w:rPr>
        <w:t>将</w:t>
      </w:r>
      <w:r>
        <w:rPr>
          <w:rFonts w:hint="eastAsia" w:ascii="微软雅黑" w:hAnsi="微软雅黑" w:eastAsia="微软雅黑"/>
          <w:color w:val="000000"/>
          <w:kern w:val="0"/>
          <w:sz w:val="24"/>
          <w:szCs w:val="24"/>
        </w:rPr>
        <w:t>问卷链接网址</w:t>
      </w:r>
      <w:r>
        <w:fldChar w:fldCharType="begin"/>
      </w:r>
      <w:r>
        <w:instrText xml:space="preserve"> HYPERLINK "http://grsbjmu.sojump.com/jq/8601793.aspx" </w:instrText>
      </w:r>
      <w:r>
        <w:fldChar w:fldCharType="separate"/>
      </w:r>
      <w:r>
        <w:rPr>
          <w:rFonts w:hint="eastAsia" w:ascii="微软雅黑" w:hAnsi="微软雅黑" w:eastAsia="微软雅黑"/>
          <w:color w:val="0000FF"/>
          <w:kern w:val="0"/>
          <w:sz w:val="24"/>
          <w:szCs w:val="24"/>
          <w:u w:val="single"/>
        </w:rPr>
        <w:t>http://grsbjmu.sojump.com/jq/8601793.aspx</w:t>
      </w:r>
      <w:r>
        <w:rPr>
          <w:rFonts w:hint="eastAsia" w:ascii="微软雅黑" w:hAnsi="微软雅黑" w:eastAsia="微软雅黑"/>
          <w:color w:val="0000FF"/>
          <w:kern w:val="0"/>
          <w:sz w:val="24"/>
          <w:szCs w:val="24"/>
          <w:u w:val="single"/>
        </w:rPr>
        <w:fldChar w:fldCharType="end"/>
      </w:r>
    </w:p>
    <w:p>
      <w:pPr>
        <w:widowControl/>
        <w:spacing w:after="0"/>
        <w:jc w:val="left"/>
        <w:rPr>
          <w:rFonts w:ascii="微软雅黑" w:hAnsi="微软雅黑" w:eastAsia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/>
          <w:color w:val="000000"/>
          <w:kern w:val="0"/>
          <w:sz w:val="24"/>
          <w:szCs w:val="24"/>
        </w:rPr>
        <w:t>复制</w:t>
      </w:r>
      <w:r>
        <w:rPr>
          <w:rFonts w:ascii="微软雅黑" w:hAnsi="微软雅黑" w:eastAsia="微软雅黑"/>
          <w:color w:val="000000"/>
          <w:kern w:val="0"/>
          <w:sz w:val="24"/>
          <w:szCs w:val="24"/>
        </w:rPr>
        <w:t>到</w:t>
      </w:r>
      <w:r>
        <w:rPr>
          <w:rFonts w:hint="eastAsia" w:ascii="微软雅黑" w:hAnsi="微软雅黑" w:eastAsia="微软雅黑"/>
          <w:color w:val="000000"/>
          <w:kern w:val="0"/>
          <w:sz w:val="24"/>
          <w:szCs w:val="24"/>
        </w:rPr>
        <w:t>电脑</w:t>
      </w:r>
      <w:r>
        <w:rPr>
          <w:rFonts w:ascii="微软雅黑" w:hAnsi="微软雅黑" w:eastAsia="微软雅黑"/>
          <w:color w:val="000000"/>
          <w:kern w:val="0"/>
          <w:sz w:val="24"/>
          <w:szCs w:val="24"/>
        </w:rPr>
        <w:t>浏览器地址栏</w:t>
      </w:r>
    </w:p>
    <w:p>
      <w:pPr>
        <w:widowControl/>
        <w:spacing w:after="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微软雅黑" w:hAnsi="微软雅黑" w:eastAsia="微软雅黑"/>
          <w:color w:val="000000"/>
          <w:kern w:val="0"/>
          <w:sz w:val="24"/>
          <w:szCs w:val="24"/>
        </w:rPr>
        <w:t>方式</w:t>
      </w:r>
      <w:r>
        <w:rPr>
          <w:rFonts w:ascii="微软雅黑" w:hAnsi="微软雅黑" w:eastAsia="微软雅黑"/>
          <w:color w:val="000000"/>
          <w:kern w:val="0"/>
          <w:sz w:val="24"/>
          <w:szCs w:val="24"/>
        </w:rPr>
        <w:t>二：</w:t>
      </w:r>
      <w:r>
        <w:rPr>
          <w:rFonts w:hint="eastAsia" w:ascii="微软雅黑" w:hAnsi="微软雅黑" w:eastAsia="微软雅黑"/>
          <w:color w:val="000000"/>
          <w:kern w:val="0"/>
          <w:sz w:val="24"/>
          <w:szCs w:val="24"/>
        </w:rPr>
        <w:t>手机扫描问卷二维码（如下）</w:t>
      </w:r>
    </w:p>
    <w:p>
      <w:pPr>
        <w:widowControl/>
        <w:spacing w:after="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Cs w:val="21"/>
        </w:rPr>
        <w:drawing>
          <wp:inline distT="0" distB="0" distL="0" distR="0">
            <wp:extent cx="1428750" cy="1428750"/>
            <wp:effectExtent l="0" t="0" r="0" b="0"/>
            <wp:docPr id="1" name="图片 1" descr="D:\MailMaster\tmp\M1-1-8885\attachs\qr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MailMaster\tmp\M1-1-8885\attachs\qrco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after="0"/>
        <w:jc w:val="left"/>
        <w:rPr>
          <w:rFonts w:ascii="微软雅黑" w:hAnsi="微软雅黑" w:eastAsia="微软雅黑"/>
          <w:b/>
          <w:color w:val="FF0000"/>
          <w:kern w:val="0"/>
          <w:sz w:val="28"/>
          <w:szCs w:val="28"/>
        </w:rPr>
      </w:pPr>
      <w:r>
        <w:rPr>
          <w:rFonts w:hint="eastAsia" w:ascii="微软雅黑" w:hAnsi="微软雅黑" w:eastAsia="微软雅黑"/>
          <w:b/>
          <w:color w:val="FF0000"/>
          <w:kern w:val="0"/>
          <w:sz w:val="28"/>
          <w:szCs w:val="28"/>
          <w:lang w:eastAsia="zh-CN"/>
        </w:rPr>
        <w:t>毕业</w:t>
      </w:r>
      <w:r>
        <w:rPr>
          <w:rFonts w:hint="eastAsia" w:ascii="微软雅黑" w:hAnsi="微软雅黑" w:eastAsia="微软雅黑"/>
          <w:b/>
          <w:color w:val="FF0000"/>
          <w:kern w:val="0"/>
          <w:sz w:val="28"/>
          <w:szCs w:val="28"/>
        </w:rPr>
        <w:t>生填写</w:t>
      </w:r>
      <w:r>
        <w:rPr>
          <w:rFonts w:ascii="微软雅黑" w:hAnsi="微软雅黑" w:eastAsia="微软雅黑"/>
          <w:b/>
          <w:color w:val="FF0000"/>
          <w:kern w:val="0"/>
          <w:sz w:val="28"/>
          <w:szCs w:val="28"/>
        </w:rPr>
        <w:t>注意</w:t>
      </w:r>
      <w:r>
        <w:rPr>
          <w:rFonts w:hint="eastAsia" w:ascii="微软雅黑" w:hAnsi="微软雅黑" w:eastAsia="微软雅黑"/>
          <w:b/>
          <w:color w:val="FF0000"/>
          <w:kern w:val="0"/>
          <w:sz w:val="28"/>
          <w:szCs w:val="28"/>
        </w:rPr>
        <w:t>事项：</w:t>
      </w:r>
    </w:p>
    <w:p>
      <w:pPr>
        <w:pStyle w:val="9"/>
        <w:widowControl/>
        <w:numPr>
          <w:ilvl w:val="0"/>
          <w:numId w:val="1"/>
        </w:numPr>
        <w:spacing w:after="0" w:line="360" w:lineRule="auto"/>
        <w:ind w:firstLineChars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问卷星开放时间为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6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月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16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日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—7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月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8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日，离校系统开启时间为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6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月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23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日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—7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月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8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日。</w:t>
      </w:r>
    </w:p>
    <w:p>
      <w:pPr>
        <w:pStyle w:val="9"/>
        <w:widowControl/>
        <w:numPr>
          <w:ilvl w:val="0"/>
          <w:numId w:val="1"/>
        </w:numPr>
        <w:spacing w:after="0" w:line="360" w:lineRule="auto"/>
        <w:ind w:firstLineChars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同学们可以先行完成问卷填写，待离校系统开启后，研工部将每隔几个小时将已完成信息导入“离校系统”，进行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 xml:space="preserve"> 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“已办理”标记。当您的“研究生问卷调查”项显示为“已办理”时，表示此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项目已完成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。</w:t>
      </w:r>
    </w:p>
    <w:p>
      <w:pPr>
        <w:pStyle w:val="9"/>
        <w:widowControl/>
        <w:numPr>
          <w:ilvl w:val="0"/>
          <w:numId w:val="1"/>
        </w:numPr>
        <w:spacing w:after="0" w:line="360" w:lineRule="auto"/>
        <w:ind w:firstLineChars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调查采用无记名形式，学生输入的学号只是为了方便研工部录入离校系统，我们会对您填写的内容严格保密。学号填写请一定要真实准确，不然无法完成离校系统的流程。</w:t>
      </w:r>
    </w:p>
    <w:p>
      <w:pPr>
        <w:pStyle w:val="9"/>
        <w:widowControl/>
        <w:numPr>
          <w:ilvl w:val="0"/>
          <w:numId w:val="1"/>
        </w:numPr>
        <w:spacing w:after="0" w:line="360" w:lineRule="auto"/>
        <w:ind w:firstLineChars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学生可自行记录提交问卷的时间，以便在出现问题时向研工部查询。</w:t>
      </w:r>
    </w:p>
    <w:p>
      <w:pPr>
        <w:pStyle w:val="9"/>
        <w:widowControl/>
        <w:numPr>
          <w:ilvl w:val="0"/>
          <w:numId w:val="1"/>
        </w:numPr>
        <w:spacing w:after="0" w:line="360" w:lineRule="auto"/>
        <w:ind w:firstLineChars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在离校系统开启后，若学生提交问卷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24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小时后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eastAsia="zh-CN"/>
        </w:rPr>
        <w:t>（周六、日除外）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仍不见系统显示“已办理”，请及时联系研工部杨老师。</w:t>
      </w:r>
    </w:p>
    <w:p>
      <w:pPr>
        <w:pStyle w:val="9"/>
        <w:widowControl/>
        <w:numPr>
          <w:ilvl w:val="0"/>
          <w:numId w:val="1"/>
        </w:numPr>
        <w:spacing w:after="0" w:line="360" w:lineRule="auto"/>
        <w:ind w:firstLineChars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离校系统中显示的问卷链接是文本格式，需要拷贝在电脑浏览器的地址栏才能进入问卷页面。</w:t>
      </w:r>
    </w:p>
    <w:p>
      <w:pPr>
        <w:pStyle w:val="9"/>
        <w:widowControl/>
        <w:numPr>
          <w:ilvl w:val="0"/>
          <w:numId w:val="1"/>
        </w:numPr>
        <w:spacing w:after="0" w:line="360" w:lineRule="auto"/>
        <w:ind w:firstLineChars="0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由于问卷较长，建议使用电脑答题，电脑显示的界面更加清晰流畅，方便操作，而手机操作比较容易疲劳。</w:t>
      </w:r>
    </w:p>
    <w:p>
      <w:pPr>
        <w:widowControl/>
        <w:spacing w:after="0"/>
        <w:jc w:val="left"/>
        <w:rPr>
          <w:rFonts w:ascii="Arial" w:hAnsi="Arial" w:eastAsia="宋体" w:cs="Arial"/>
          <w:color w:val="000000"/>
          <w:kern w:val="0"/>
          <w:szCs w:val="21"/>
        </w:rPr>
      </w:pPr>
    </w:p>
    <w:p>
      <w:pPr>
        <w:widowControl/>
        <w:spacing w:after="0"/>
        <w:jc w:val="left"/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 w:bidi="ar-SA"/>
        </w:rPr>
        <w:t>未尽事宜请联系教育处国桓，88196293</w:t>
      </w:r>
    </w:p>
    <w:p>
      <w:pPr>
        <w:widowControl/>
        <w:spacing w:after="0"/>
        <w:jc w:val="left"/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 w:bidi="ar-SA"/>
        </w:rPr>
        <w:t> </w:t>
      </w:r>
    </w:p>
    <w:p>
      <w:pPr>
        <w:widowControl/>
        <w:spacing w:after="0"/>
        <w:jc w:val="right"/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 w:bidi="ar-SA"/>
        </w:rPr>
        <w:t>北京大学医学部 研工部</w:t>
      </w:r>
    </w:p>
    <w:p>
      <w:pPr>
        <w:widowControl/>
        <w:wordWrap w:val="0"/>
        <w:spacing w:after="0"/>
        <w:jc w:val="right"/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 w:bidi="ar-SA"/>
        </w:rPr>
        <w:t xml:space="preserve">临床肿瘤学院 </w:t>
      </w:r>
      <w:bookmarkStart w:id="0" w:name="_GoBack"/>
      <w:bookmarkEnd w:id="0"/>
      <w: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 w:bidi="ar-SA"/>
        </w:rPr>
        <w:t>教育处</w:t>
      </w:r>
    </w:p>
    <w:p>
      <w:pPr>
        <w:widowControl/>
        <w:spacing w:after="0"/>
        <w:jc w:val="right"/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 w:bidi="ar-SA"/>
        </w:rPr>
      </w:pPr>
    </w:p>
    <w:p>
      <w:pPr>
        <w:rPr>
          <w:rFonts w:hint="eastAsia" w:ascii="Arial" w:hAnsi="Arial" w:eastAsia="宋体" w:cs="Arial"/>
          <w:color w:val="000000"/>
          <w:kern w:val="0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456DC"/>
    <w:multiLevelType w:val="multilevel"/>
    <w:tmpl w:val="14C456DC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19C4"/>
    <w:rsid w:val="000711DB"/>
    <w:rsid w:val="00073007"/>
    <w:rsid w:val="001B290A"/>
    <w:rsid w:val="001D079C"/>
    <w:rsid w:val="001F157F"/>
    <w:rsid w:val="001F2039"/>
    <w:rsid w:val="001F359A"/>
    <w:rsid w:val="00286764"/>
    <w:rsid w:val="002B0C97"/>
    <w:rsid w:val="002C5B4F"/>
    <w:rsid w:val="002C7258"/>
    <w:rsid w:val="0030135E"/>
    <w:rsid w:val="004B7121"/>
    <w:rsid w:val="004F39C9"/>
    <w:rsid w:val="00591618"/>
    <w:rsid w:val="005C19C4"/>
    <w:rsid w:val="0061274E"/>
    <w:rsid w:val="00624220"/>
    <w:rsid w:val="00890E97"/>
    <w:rsid w:val="00941011"/>
    <w:rsid w:val="009A3D16"/>
    <w:rsid w:val="009A5822"/>
    <w:rsid w:val="009F77EB"/>
    <w:rsid w:val="00A04F67"/>
    <w:rsid w:val="00C461EF"/>
    <w:rsid w:val="00D07E32"/>
    <w:rsid w:val="00D16A37"/>
    <w:rsid w:val="00D2303F"/>
    <w:rsid w:val="00DE368E"/>
    <w:rsid w:val="00E94F6E"/>
    <w:rsid w:val="00E95D23"/>
    <w:rsid w:val="1A7F3261"/>
    <w:rsid w:val="76727B3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8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</Words>
  <Characters>851</Characters>
  <Lines>7</Lines>
  <Paragraphs>1</Paragraphs>
  <ScaleCrop>false</ScaleCrop>
  <LinksUpToDate>false</LinksUpToDate>
  <CharactersWithSpaces>999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2016-06-15T03:20:00Z</dcterms:created>
  <dc:creator>user</dc:creator>
  <cp:lastModifiedBy>dell</cp:lastModifiedBy>
  <dcterms:modified xsi:type="dcterms:W3CDTF">2016-06-16T06:20:11Z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